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«МРСК Юга»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«МРСК Юга»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bookmarkStart w:id="0" w:name="_GoBack"/>
      <w:bookmarkEnd w:id="0"/>
      <w:r w:rsidRPr="006460BD">
        <w:rPr>
          <w:rFonts w:cstheme="minorHAnsi"/>
          <w:b/>
        </w:rPr>
        <w:t>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«МРСК Юга»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По итогам деятельности за 201</w:t>
      </w:r>
      <w:r w:rsidR="00DD051C">
        <w:rPr>
          <w:rFonts w:cstheme="minorHAnsi"/>
        </w:rPr>
        <w:t>8</w:t>
      </w:r>
      <w:r>
        <w:rPr>
          <w:rFonts w:cstheme="minorHAnsi"/>
        </w:rPr>
        <w:t xml:space="preserve"> год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2D191E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0A80C137" wp14:editId="5CFFCE8D">
            <wp:extent cx="5848350" cy="3305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201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8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643702" w:rsidRPr="00E17422" w:rsidTr="0064370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643702" w:rsidRPr="00E17422" w:rsidRDefault="00643702" w:rsidP="00643702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2D191E" w:rsidP="002D19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643702">
              <w:rPr>
                <w:rFonts w:ascii="Calibri" w:hAnsi="Calibri"/>
                <w:color w:val="000000"/>
              </w:rPr>
              <w:t xml:space="preserve">6 </w:t>
            </w:r>
            <w:r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643702" w:rsidRDefault="00643702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643702" w:rsidRPr="00E17422" w:rsidTr="0064370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643702" w:rsidRPr="00E17422" w:rsidRDefault="00643702" w:rsidP="0064370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2D191E" w:rsidP="002D19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64370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928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643702" w:rsidRDefault="00643702" w:rsidP="002D19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</w:t>
            </w:r>
            <w:r w:rsidR="002D191E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643702" w:rsidRPr="00E17422" w:rsidTr="0064370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643702" w:rsidRPr="00E17422" w:rsidRDefault="00643702" w:rsidP="0064370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2D191E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643702" w:rsidRDefault="002D191E" w:rsidP="002D19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643702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0</w:t>
            </w:r>
            <w:r w:rsidR="00643702">
              <w:rPr>
                <w:rFonts w:ascii="Calibri" w:hAnsi="Calibri"/>
                <w:color w:val="000000"/>
              </w:rPr>
              <w:t>%</w:t>
            </w:r>
          </w:p>
        </w:tc>
      </w:tr>
      <w:tr w:rsidR="00643702" w:rsidRPr="00E17422" w:rsidTr="00643702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643702" w:rsidRPr="00E17422" w:rsidRDefault="00643702" w:rsidP="0064370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2D191E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847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2D191E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  <w:r w:rsidR="00643702">
              <w:rPr>
                <w:rFonts w:ascii="Calibri" w:hAnsi="Calibri"/>
                <w:color w:val="000000"/>
              </w:rPr>
              <w:t>%</w:t>
            </w:r>
          </w:p>
        </w:tc>
      </w:tr>
      <w:tr w:rsidR="00643702" w:rsidRPr="00E17422" w:rsidTr="00643702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643702" w:rsidRPr="00E17422" w:rsidRDefault="00643702" w:rsidP="0064370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2D191E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643702" w:rsidRDefault="002D191E" w:rsidP="006437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</w:t>
            </w:r>
            <w:r w:rsidR="00643702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C5D3A"/>
    <w:rsid w:val="00153B3E"/>
    <w:rsid w:val="001711F8"/>
    <w:rsid w:val="001E0FE1"/>
    <w:rsid w:val="002836FA"/>
    <w:rsid w:val="002D191E"/>
    <w:rsid w:val="00310092"/>
    <w:rsid w:val="00335C08"/>
    <w:rsid w:val="003A7F7F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88755C"/>
    <w:rsid w:val="00920F01"/>
    <w:rsid w:val="00927877"/>
    <w:rsid w:val="00935DCF"/>
    <w:rsid w:val="0094232C"/>
    <w:rsid w:val="009B31E9"/>
    <w:rsid w:val="00A561FF"/>
    <w:rsid w:val="00BC2787"/>
    <w:rsid w:val="00C96AD4"/>
    <w:rsid w:val="00D23442"/>
    <w:rsid w:val="00D55277"/>
    <w:rsid w:val="00DB24FA"/>
    <w:rsid w:val="00DB3A28"/>
    <w:rsid w:val="00DB7B45"/>
    <w:rsid w:val="00DD051C"/>
    <w:rsid w:val="00DD1CE7"/>
    <w:rsid w:val="00E17422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EC6F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Структура выручки ПАО "МРСК Юга" в 2018 году, в млн. руб. и %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739489085603427E-2"/>
          <c:y val="0.24863579552555931"/>
          <c:w val="0.58238568005086322"/>
          <c:h val="0.6547125359330083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E97-41E8-BC18-A9CC60832300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E97-41E8-BC18-A9CC60832300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E97-41E8-BC18-A9CC60832300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FE97-41E8-BC18-A9CC60832300}"/>
              </c:ext>
            </c:extLst>
          </c:dPt>
          <c:dLbls>
            <c:dLbl>
              <c:idx val="0"/>
              <c:layout>
                <c:manualLayout>
                  <c:x val="6.3492063492063544E-2"/>
                  <c:y val="7.936507936507936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E97-41E8-BC18-A9CC60832300}"/>
                </c:ext>
              </c:extLst>
            </c:dLbl>
            <c:dLbl>
              <c:idx val="2"/>
              <c:layout>
                <c:manualLayout>
                  <c:x val="-4.4168391994478952E-2"/>
                  <c:y val="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E97-41E8-BC18-A9CC60832300}"/>
                </c:ext>
              </c:extLst>
            </c:dLbl>
            <c:dLbl>
              <c:idx val="3"/>
              <c:layout>
                <c:manualLayout>
                  <c:x val="-8.2815734989648039E-3"/>
                  <c:y val="-4.76190476190476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E97-41E8-BC18-A9CC6083230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Word]Лист1'!$D$29:$G$29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'[Диаграмма в Microsoft Word]Лист1'!$D$30:$G$30</c:f>
              <c:numCache>
                <c:formatCode>#,##0</c:formatCode>
                <c:ptCount val="4"/>
                <c:pt idx="0" formatCode="#\ ##0.000">
                  <c:v>847.32667776999995</c:v>
                </c:pt>
                <c:pt idx="1">
                  <c:v>34928.358441948752</c:v>
                </c:pt>
                <c:pt idx="2" formatCode="#\ ##0.000">
                  <c:v>238.23388999999995</c:v>
                </c:pt>
                <c:pt idx="3">
                  <c:v>380.10730648799995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97-41E8-BC18-A9CC608323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Ласкова Мария Борисовна</cp:lastModifiedBy>
  <cp:revision>7</cp:revision>
  <dcterms:created xsi:type="dcterms:W3CDTF">2018-05-16T12:25:00Z</dcterms:created>
  <dcterms:modified xsi:type="dcterms:W3CDTF">2019-02-20T10:41:00Z</dcterms:modified>
</cp:coreProperties>
</file>